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целевого денежного займа, заключаемого между физическим и юридическим лицом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целевого денежного займа, заключаемого между физическим и юридическим лицом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беспроцентного займа в размере ________________ рублей, а Заемщик обязуется вернуть указанную сумму займа в срок, обусловленный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сумма займа должна использоваться Заемщиком для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передает Заемщику указанную сумму займа в срок до « ________________ » ________________ 2026 г. Моментом передачи считается момент зачисления суммы займа на банковский счет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Возврат Заемщиком суммы займа, указанной в настоящем договоре, осуществляется в полном объеме в течение ________________ с даты передачи денежных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невозвращения указанной в п.1.1 договора суммы займа в определенный в п.2.3 настоящего договора срок Заемщик уплачивает Займодавцу пеню в размере ________________ % от суммы займа за каждый день просрочки, но не более ________________ % от суммы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п.4.1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 настоящего договора,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п.4.1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п.4.1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будет считаться исполненным при выполнении Заемщиком обязательств по возврату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