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с залогом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займа с залогом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 необходимостью получения одобрения на досрочный возврат)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Досрочный возврат Суммы займа и процентов возможен после получения Заемщиком письменного одобрения Заимодавца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